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2-samuel-12"/>
    <w:p>
      <w:pPr>
        <w:pStyle w:val="Heading1"/>
      </w:pPr>
      <w:r>
        <w:t xml:space="preserve">Homiletics Analysis: 2 Samuel 12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Samuel 12 is the pivot chapter of David’s life. Nathan arrives bearing a parable — a rich man seizes a poor man’s beloved lamb — and before David recognizes himself in the story, his outrage condemns him. The prophet’s four words,</w:t>
      </w:r>
      <w:r>
        <w:t xml:space="preserve"> </w:t>
      </w:r>
      <w:r>
        <w:rPr>
          <w:i/>
          <w:iCs/>
        </w:rPr>
        <w:t xml:space="preserve">“You are the man,”</w:t>
      </w:r>
      <w:r>
        <w:t xml:space="preserve"> </w:t>
      </w:r>
      <w:r>
        <w:t xml:space="preserve">collapse the distance between judgment and judge. Nathan then delivers the LORD’s indictment in covenantal terms: God gave David everything, and David despised it all. The consequences are announced with terrifying precision — the sword will not depart from David’s house, his wives will be taken publicly, and the child born of the adultery with Bathsheba will die. David confesses immediately. Nathan confirms the LORD has taken away the sin, yet consequences remain. The child falls ill; David fasts and prays with desperate intensity. When the child dies, David rises, worships, eats, and explains his reasoning to his bewildered servants with astonishing theological lucidity: he cannot bring the child back, but he will go to him. The chapter closes with the birth of Solomon — loved by the LORD and named Jedidiah — and then returns to the military narrative as Joab completes the siege of Rabbah, delivering the final capture to David as a gift of loyal cover.</w:t>
      </w:r>
    </w:p>
    <w:p>
      <w:pPr>
        <w:pStyle w:val="BodyText"/>
      </w:pPr>
      <w:r>
        <w:rPr>
          <w:b/>
          <w:bCs/>
        </w:rPr>
        <w:t xml:space="preserve">This Text — Intent</w:t>
      </w:r>
    </w:p>
    <w:p>
      <w:pPr>
        <w:pStyle w:val="BodyText"/>
      </w:pPr>
      <w:r>
        <w:t xml:space="preserve">God is seeking to demonstrate through this chapter that His covenant faithfulness operates simultaneously in two directions — it refuses to let sin go unnamed in His chosen king, and it refuses to abandon that king once named and confessed. The intent is not primarily to catalog consequences (though consequences are real and severe) nor to showcase Nathan’s prophetic courage (though it is exemplary) — it is to display the character of a God who loves His people enough to pursue them through their worst failure, confront them without destroying them, and restore them without pretending the failure did not occur. The reader is meant to encounter a God who sees through self-deception, speaks the truth in love, and maintains His covenant purposes even through the wreckage of human sin. David’s response — immediate confession, authentic grief, and then sovereign trust (</w:t>
      </w:r>
      <w:r>
        <w:t xml:space="preserve">“I will go to him”</w:t>
      </w:r>
      <w:r>
        <w:t xml:space="preserve">) — models what the chapter is calling every reader to do when God’s word names their sin.</w:t>
      </w:r>
    </w:p>
    <w:p>
      <w:r>
        <w:pict>
          <v:rect style="width:0;height:1.5pt" o:hralign="center" o:hrstd="t" o:hr="t"/>
        </w:pict>
      </w:r>
    </w:p>
    <w:p>
      <w:pPr>
        <w:pStyle w:val="FirstParagraph"/>
      </w:pPr>
      <w:r>
        <w:rPr>
          <w:b/>
          <w:bCs/>
        </w:rPr>
        <w:t xml:space="preserve">Subject Sentence:</w:t>
      </w:r>
      <w:r>
        <w:t xml:space="preserve"> </w:t>
      </w:r>
      <w:r>
        <w:t xml:space="preserve">The LORD confronts David’s sin, executes justice, and preserves His covenant without canceling its cost.</w:t>
      </w:r>
    </w:p>
    <w:p>
      <w:r>
        <w:pict>
          <v:rect style="width:0;height:1.5pt" o:hralign="center" o:hrstd="t" o:hr="t"/>
        </w:pict>
      </w:r>
    </w:p>
    <w:p>
      <w:pPr>
        <w:pStyle w:val="FirstParagraph"/>
      </w:pPr>
      <w:r>
        <w:rPr>
          <w:b/>
          <w:bCs/>
        </w:rPr>
        <w:t xml:space="preserve">Primary Claim:</w:t>
      </w:r>
      <w:r>
        <w:t xml:space="preserve"> </w:t>
      </w:r>
      <w:r>
        <w:t xml:space="preserve">God’s faithfulness to His covenant people does not look the other way at sin — it pursues, names, forgives, and disciplines, all at once — so that the reader learns to receive God’s word of confrontation as itself an act of grace, and to trust His covenant purposes even when consequences cannot be reversed.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Nathan’s parable and the question of entrapment</w:t>
      </w:r>
    </w:p>
    <w:p>
      <w:pPr>
        <w:pStyle w:val="BodyText"/>
      </w:pPr>
      <w:r>
        <w:t xml:space="preserve">Some readers have found Nathan’s technique manipulative — drawing David’s judgment out of him before he knows he is the subject. This reading misunderstands the genre and purpose of the prophetic parable. Nathan is not tricking David; he is giving David’s own conscience the opportunity to render a verdict David already knows to be just. The parable does not manufacture guilt — it reveals it. The technique is pastoral and merciful: it allows David to speak truthful judgment before his defenses are engaged. This is not entrapment; it is the prophetic wisdom of speaking to the heart before the pride of the heart can marshal its defenses. Reformed interpretation rightly reads this as a model of faithful pastoral confrontation — indirect enough to bypass self-justification, direct enough to produce genuine conviction.</w:t>
      </w:r>
    </w:p>
    <w:p>
      <w:pPr>
        <w:pStyle w:val="BodyText"/>
      </w:pPr>
      <w:r>
        <w:rPr>
          <w:b/>
          <w:bCs/>
        </w:rPr>
        <w:t xml:space="preserve">The relationship between forgiveness and consequence</w:t>
      </w:r>
    </w:p>
    <w:p>
      <w:pPr>
        <w:pStyle w:val="BodyText"/>
      </w:pPr>
      <w:r>
        <w:t xml:space="preserve">A significant interpretive issue arises around Nathan’s announcement in verse 13:</w:t>
      </w:r>
      <w:r>
        <w:t xml:space="preserve"> </w:t>
      </w:r>
      <w:r>
        <w:rPr>
          <w:i/>
          <w:iCs/>
        </w:rPr>
        <w:t xml:space="preserve">“The LORD also has put away your sin; you shall not die”</w:t>
      </w:r>
      <w:r>
        <w:t xml:space="preserve"> </w:t>
      </w:r>
      <w:r>
        <w:t xml:space="preserve">— followed immediately in verse 14 by the announcement that the child will die. How can forgiveness be real if consequences remain? Wesleyan and some Baptist traditions tend to resolve this by distinguishing judicial forgiveness from temporal discipline, which is essentially correct. Where they sometimes overreach is in softening the severity of the consequences or treating them as relatively minor relative to the forgiveness. The Reformed reading holds both with equal force: the forgiveness is total and immediate (David is not excluded from the covenant, not stripped of the kingship, not given over to final judgment), and the consequences are real, prolonged, and painful precisely because God takes both the sin and the covenant seriously. The sword does not depart from David’s house — we will see it in Amnon, Absalom, and Adonijah. Forgiveness does not undo the damage sin does in the world; it restores the sinner to the covenant while leaving the damage visible. This is not a contradiction; it is the texture of living in a world where real choices have real effects, and where God’s grace operates within history rather than above it.</w:t>
      </w:r>
    </w:p>
    <w:p>
      <w:pPr>
        <w:pStyle w:val="BodyText"/>
      </w:pPr>
      <w:r>
        <w:rPr>
          <w:b/>
          <w:bCs/>
        </w:rPr>
        <w:t xml:space="preserve">David’s fast and prayer during the child’s illness</w:t>
      </w:r>
    </w:p>
    <w:p>
      <w:pPr>
        <w:pStyle w:val="BodyText"/>
      </w:pPr>
      <w:r>
        <w:t xml:space="preserve">Some traditions (particularly in prosperity-adjacent or charismatic interpretation) have read David’s urgent fasting and prayer as a model of</w:t>
      </w:r>
      <w:r>
        <w:t xml:space="preserve"> </w:t>
      </w:r>
      <w:r>
        <w:t xml:space="preserve">“contending for a breakthrough”</w:t>
      </w:r>
      <w:r>
        <w:t xml:space="preserve"> </w:t>
      </w:r>
      <w:r>
        <w:t xml:space="preserve">— as if the outcome remained genuinely open and David’s intensity could change the decree. This overreads the passage. Nathan has already delivered the LORD’s verdict in verse 14. David’s fasting is not an attempt to reverse divine decree through spiritual intensity; David himself explains in verses 22-23 that he fasted</w:t>
      </w:r>
      <w:r>
        <w:t xml:space="preserve"> </w:t>
      </w:r>
      <w:r>
        <w:rPr>
          <w:i/>
          <w:iCs/>
        </w:rPr>
        <w:t xml:space="preserve">“while the child was still alive”</w:t>
      </w:r>
      <w:r>
        <w:t xml:space="preserve"> </w:t>
      </w:r>
      <w:r>
        <w:t xml:space="preserve">on the grounds that</w:t>
      </w:r>
      <w:r>
        <w:t xml:space="preserve"> </w:t>
      </w:r>
      <w:r>
        <w:t xml:space="preserve">“perhaps the LORD will be gracious to me.”</w:t>
      </w:r>
      <w:r>
        <w:t xml:space="preserve"> </w:t>
      </w:r>
      <w:r>
        <w:t xml:space="preserve">The key word is</w:t>
      </w:r>
      <w:r>
        <w:t xml:space="preserve"> </w:t>
      </w:r>
      <w:r>
        <w:rPr>
          <w:i/>
          <w:iCs/>
        </w:rPr>
        <w:t xml:space="preserve">perhaps</w:t>
      </w:r>
      <w:r>
        <w:t xml:space="preserve"> </w:t>
      </w:r>
      <w:r>
        <w:t xml:space="preserve">— David is not claiming a formula but casting himself on the mercy of God while the outcome remained temporally open to him. When the child dies, David does not double down or accuse God of breach of promise — he rises, worships, and articulates a theology of death and resurrection hope (</w:t>
      </w:r>
      <w:r>
        <w:t xml:space="preserve">“I will go to him”</w:t>
      </w:r>
      <w:r>
        <w:t xml:space="preserve">) that is strikingly mature. The Reformed reading honors the genuine openness of David’s prayer while not treating it as a technique for reversing divine judgment.</w:t>
      </w:r>
    </w:p>
    <w:p>
      <w:pPr>
        <w:pStyle w:val="BodyText"/>
      </w:pPr>
      <w:r>
        <w:rPr>
          <w:b/>
          <w:bCs/>
        </w:rPr>
        <w:t xml:space="preserve">The death of the child and questions of divine justice</w:t>
      </w:r>
    </w:p>
    <w:p>
      <w:pPr>
        <w:pStyle w:val="BodyText"/>
      </w:pPr>
      <w:r>
        <w:t xml:space="preserve">Perhaps the most difficult interpretive issue in the chapter is this: why does an innocent child die for David’s sin? This troubles readers across traditions, and it should. Several traditions attempt to resolve the discomfort by minimizing it (the child is in a better place), abstracting it (God’s ways are higher), or explaining it away (the child’s death is mercy rather than judgment). The Reformed reading does not evade the difficulty. The child’s death is announced as a consequence of David’s sin, full stop (v. 14). The text does not apologize for this. What the text does is trust the reader to hold two realities simultaneously: God is just, and the effects of sin ripple beyond the sinner into the community. This is the texture of covenant life under sin’s consequences — David’s sin has already cost Uriah his life; the household now bears further cost. The text does not offer theodicy; it offers David’s response as the model — grief that is real, prayer that is urgent, and then worship when the outcome is not what was hoped. The reader is not meant to resolve the difficulty but to learn to trust God within it.</w:t>
      </w:r>
    </w:p>
    <w:p>
      <w:pPr>
        <w:pStyle w:val="BodyText"/>
      </w:pPr>
      <w:r>
        <w:rPr>
          <w:b/>
          <w:bCs/>
        </w:rPr>
        <w:t xml:space="preserve">The Jedidiah naming and the Solomonic trajectory</w:t>
      </w:r>
    </w:p>
    <w:p>
      <w:pPr>
        <w:pStyle w:val="BodyText"/>
      </w:pPr>
      <w:r>
        <w:t xml:space="preserve">Some dispensational readers emphasize the birth of Solomon here primarily as a prophetic marker pointing forward to the Davidic-Solomonic kingdom as the apex of Israel’s national greatness. The Reformed and redemptive-historical reading takes a different emphasis: the naming of Solomon as Jedidiah (</w:t>
      </w:r>
      <w:r>
        <w:t xml:space="preserve">“beloved of the LORD”</w:t>
      </w:r>
      <w:r>
        <w:t xml:space="preserve">) is the covenant refusing to terminate at the point of sin’s greatest damage. God is already at work in the lineage through which the greater Son of David will come. The chapter ends not with David’s disgrace but with the LORD’s love for Solomon — a signal that the covenant thread runs forward, through judgment and through death, to something the text is not yet ready to name but is already preparing.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51</w:t>
      </w:r>
      <w:r>
        <w:t xml:space="preserve"> </w:t>
      </w:r>
      <w:r>
        <w:t xml:space="preserve">— David’s prayer of confession composed in the aftermath of Nathan’s confrontation; provides the inner experience of the sinner who has been named and has confessed, grounding what 2 Samuel 12 narrates externally in the depths of the heart’s response to divine confrontation.</w:t>
      </w:r>
    </w:p>
    <w:p>
      <w:pPr>
        <w:numPr>
          <w:ilvl w:val="0"/>
          <w:numId w:val="1001"/>
        </w:numPr>
      </w:pPr>
      <w:r>
        <w:rPr>
          <w:b/>
          <w:bCs/>
        </w:rPr>
        <w:t xml:space="preserve">Romans 6:1-2</w:t>
      </w:r>
      <w:r>
        <w:t xml:space="preserve"> </w:t>
      </w:r>
      <w:r>
        <w:t xml:space="preserve">—</w:t>
      </w:r>
      <w:r>
        <w:t xml:space="preserve"> </w:t>
      </w:r>
      <w:r>
        <w:rPr>
          <w:i/>
          <w:iCs/>
        </w:rPr>
        <w:t xml:space="preserve">“Shall we go on sinning so that grace may abound? By no means!”</w:t>
      </w:r>
      <w:r>
        <w:t xml:space="preserve"> </w:t>
      </w:r>
      <w:r>
        <w:t xml:space="preserve">The apostle’s sharp refusal to treat forgiveness as a license for sin grounds the New Testament reading of passages like 2 Samuel 12, where forgiveness and consequence coexist not in contradiction but in the coherence of a holy God’s character.</w:t>
      </w:r>
    </w:p>
    <w:p>
      <w:pPr>
        <w:numPr>
          <w:ilvl w:val="0"/>
          <w:numId w:val="1001"/>
        </w:numPr>
      </w:pPr>
      <w:r>
        <w:rPr>
          <w:b/>
          <w:bCs/>
        </w:rPr>
        <w:t xml:space="preserve">Hebrews 12:5-11</w:t>
      </w:r>
      <w:r>
        <w:t xml:space="preserve"> </w:t>
      </w:r>
      <w:r>
        <w:t xml:space="preserve">— The LORD disciplines those He loves; the experience of painful consequence as evidence of sonship rather than abandonment is the theological framework within which the death of the child and the sword not departing from David’s house must be understood.</w:t>
      </w:r>
    </w:p>
    <w:p>
      <w:pPr>
        <w:numPr>
          <w:ilvl w:val="0"/>
          <w:numId w:val="1001"/>
        </w:numPr>
      </w:pPr>
      <w:r>
        <w:rPr>
          <w:b/>
          <w:bCs/>
        </w:rPr>
        <w:t xml:space="preserve">2 Samuel 7:14-15</w:t>
      </w:r>
      <w:r>
        <w:t xml:space="preserve"> </w:t>
      </w:r>
      <w:r>
        <w:t xml:space="preserve">— The Davidic covenant itself, in which God promises that when David’s son sins, God will discipline him</w:t>
      </w:r>
      <w:r>
        <w:t xml:space="preserve"> </w:t>
      </w:r>
      <w:r>
        <w:rPr>
          <w:i/>
          <w:iCs/>
        </w:rPr>
        <w:t xml:space="preserve">“with the rod of men,”</w:t>
      </w:r>
      <w:r>
        <w:t xml:space="preserve"> </w:t>
      </w:r>
      <w:r>
        <w:t xml:space="preserve">but will not remove His steadfast love from him. Second Samuel 12 is the fulfillment of that covenant clause — Nathan’s confrontation and God’s discipline are not covenant rupture; they are covenant operation.</w:t>
      </w:r>
    </w:p>
    <w:p>
      <w:pPr>
        <w:numPr>
          <w:ilvl w:val="0"/>
          <w:numId w:val="1001"/>
        </w:numPr>
      </w:pPr>
      <w:r>
        <w:rPr>
          <w:b/>
          <w:bCs/>
        </w:rPr>
        <w:t xml:space="preserve">John 8:1-11</w:t>
      </w:r>
      <w:r>
        <w:t xml:space="preserve"> </w:t>
      </w:r>
      <w:r>
        <w:t xml:space="preserve">— The woman caught in adultery; Jesus’s</w:t>
      </w:r>
      <w:r>
        <w:t xml:space="preserve"> </w:t>
      </w:r>
      <w:r>
        <w:rPr>
          <w:i/>
          <w:iCs/>
        </w:rPr>
        <w:t xml:space="preserve">“Neither do I condemn you — go and sin no more”</w:t>
      </w:r>
      <w:r>
        <w:t xml:space="preserve"> </w:t>
      </w:r>
      <w:r>
        <w:t xml:space="preserve">resonates with the structure of 2 Samuel 12: confrontation, confession, forgiveness, and the simultaneous call to moral seriousness — with the added canonical clarity that in Christ the sword falls on the Son so that it need not fall forever on the sinner.</w:t>
      </w:r>
    </w:p>
    <w:p>
      <w:r>
        <w:pict>
          <v:rect style="width:0;height:1.5pt" o:hralign="center" o:hrstd="t" o:hr="t"/>
        </w:pict>
      </w:r>
    </w:p>
    <w:bookmarkEnd w:id="11"/>
    <w:bookmarkStart w:id="12" w:name="aim"/>
    <w:p>
      <w:pPr>
        <w:pStyle w:val="Heading2"/>
      </w:pPr>
      <w:r>
        <w:t xml:space="preserve">Aim</w:t>
      </w:r>
    </w:p>
    <w:p>
      <w:pPr>
        <w:pStyle w:val="FirstParagraph"/>
      </w:pPr>
      <w:r>
        <w:t xml:space="preserve">To show that God’s word of confrontation — like Nathan’s — is itself an act of covenant love, and that the right response to being named by that word is not despair or defense but the same immediate confession and sovereign trust that David models in this chapter.</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LORD sends Nathan to David</w:t>
            </w:r>
          </w:p>
        </w:tc>
        <w:tc>
          <w:tcPr/>
          <w:p>
            <w:pPr>
              <w:pStyle w:val="Compact"/>
            </w:pPr>
            <w:r>
              <w:t xml:space="preserve">Divine initiative — God does not let David’s sin remain unnamed;</w:t>
            </w:r>
            <w:r>
              <w:t xml:space="preserve"> </w:t>
            </w:r>
            <w:r>
              <w:t xml:space="preserve">“the LORD sent”</w:t>
            </w:r>
          </w:p>
        </w:tc>
      </w:tr>
      <w:tr>
        <w:tc>
          <w:tcPr/>
          <w:p>
            <w:pPr>
              <w:pStyle w:val="Compact"/>
            </w:pPr>
            <w:r>
              <w:t xml:space="preserve">1b–4</w:t>
            </w:r>
          </w:p>
        </w:tc>
        <w:tc>
          <w:tcPr/>
          <w:p>
            <w:pPr>
              <w:pStyle w:val="Compact"/>
            </w:pPr>
            <w:r>
              <w:t xml:space="preserve">Nathan’s parable of the rich man and the poor man’s lamb</w:t>
            </w:r>
          </w:p>
        </w:tc>
        <w:tc>
          <w:tcPr/>
          <w:p>
            <w:pPr>
              <w:pStyle w:val="Compact"/>
            </w:pPr>
            <w:r>
              <w:t xml:space="preserve">The lamb is described with striking tenderness —</w:t>
            </w:r>
            <w:r>
              <w:t xml:space="preserve"> </w:t>
            </w:r>
            <w:r>
              <w:t xml:space="preserve">“like a daughter to him”</w:t>
            </w:r>
            <w:r>
              <w:t xml:space="preserve"> </w:t>
            </w:r>
            <w:r>
              <w:t xml:space="preserve">— heightening the outrage</w:t>
            </w:r>
          </w:p>
        </w:tc>
      </w:tr>
      <w:tr>
        <w:tc>
          <w:tcPr/>
          <w:p>
            <w:pPr>
              <w:pStyle w:val="Compact"/>
            </w:pPr>
            <w:r>
              <w:t xml:space="preserve">5–6</w:t>
            </w:r>
          </w:p>
        </w:tc>
        <w:tc>
          <w:tcPr/>
          <w:p>
            <w:pPr>
              <w:pStyle w:val="Compact"/>
            </w:pPr>
            <w:r>
              <w:t xml:space="preserve">David’s furious verdict: the man deserves to die and must restore fourfold</w:t>
            </w:r>
          </w:p>
        </w:tc>
        <w:tc>
          <w:tcPr/>
          <w:p>
            <w:pPr>
              <w:pStyle w:val="Compact"/>
            </w:pPr>
            <w:r>
              <w:t xml:space="preserve">David’s outrage is morally real but self-condemning; the fourfold restoration becomes prophetically precise (four sons lost)</w:t>
            </w:r>
          </w:p>
        </w:tc>
      </w:tr>
      <w:tr>
        <w:tc>
          <w:tcPr/>
          <w:p>
            <w:pPr>
              <w:pStyle w:val="Compact"/>
            </w:pPr>
            <w:r>
              <w:t xml:space="preserve">7a</w:t>
            </w:r>
          </w:p>
        </w:tc>
        <w:tc>
          <w:tcPr/>
          <w:p>
            <w:pPr>
              <w:pStyle w:val="Compact"/>
            </w:pPr>
            <w:r>
              <w:rPr>
                <w:i/>
                <w:iCs/>
              </w:rPr>
              <w:t xml:space="preserve">“You are the man”</w:t>
            </w:r>
          </w:p>
        </w:tc>
        <w:tc>
          <w:tcPr/>
          <w:p>
            <w:pPr>
              <w:pStyle w:val="Compact"/>
            </w:pPr>
            <w:r>
              <w:t xml:space="preserve">The pivotal sentence of the chapter and one of the most significant in all of Scripture</w:t>
            </w:r>
          </w:p>
        </w:tc>
      </w:tr>
      <w:tr>
        <w:tc>
          <w:tcPr/>
          <w:p>
            <w:pPr>
              <w:pStyle w:val="Compact"/>
            </w:pPr>
            <w:r>
              <w:t xml:space="preserve">7b–8</w:t>
            </w:r>
          </w:p>
        </w:tc>
        <w:tc>
          <w:tcPr/>
          <w:p>
            <w:pPr>
              <w:pStyle w:val="Compact"/>
            </w:pPr>
            <w:r>
              <w:t xml:space="preserve">The LORD’s recitation of His gifts to David</w:t>
            </w:r>
          </w:p>
        </w:tc>
        <w:tc>
          <w:tcPr/>
          <w:p>
            <w:pPr>
              <w:pStyle w:val="Compact"/>
            </w:pPr>
            <w:r>
              <w:t xml:space="preserve">God gave David the kingdom, the wives of Saul, the house of Israel and Judah — and more if that had been too little; grace preceded the sin</w:t>
            </w:r>
          </w:p>
        </w:tc>
      </w:tr>
      <w:tr>
        <w:tc>
          <w:tcPr/>
          <w:p>
            <w:pPr>
              <w:pStyle w:val="Compact"/>
            </w:pPr>
            <w:r>
              <w:t xml:space="preserve">9</w:t>
            </w:r>
          </w:p>
        </w:tc>
        <w:tc>
          <w:tcPr/>
          <w:p>
            <w:pPr>
              <w:pStyle w:val="Compact"/>
            </w:pPr>
            <w:r>
              <w:t xml:space="preserve">The indictment: David despised the word of the LORD</w:t>
            </w:r>
          </w:p>
        </w:tc>
        <w:tc>
          <w:tcPr/>
          <w:p>
            <w:pPr>
              <w:pStyle w:val="Compact"/>
            </w:pPr>
            <w:r>
              <w:t xml:space="preserve">“Despised”</w:t>
            </w:r>
            <w:r>
              <w:t xml:space="preserve"> </w:t>
            </w:r>
            <w:r>
              <w:t xml:space="preserve">— the same word used of those who treat God’s covenant lightly; Uriah killed by the sword of the Ammonites through David’s arrangement</w:t>
            </w:r>
          </w:p>
        </w:tc>
      </w:tr>
      <w:tr>
        <w:tc>
          <w:tcPr/>
          <w:p>
            <w:pPr>
              <w:pStyle w:val="Compact"/>
            </w:pPr>
            <w:r>
              <w:t xml:space="preserve">10–12</w:t>
            </w:r>
          </w:p>
        </w:tc>
        <w:tc>
          <w:tcPr/>
          <w:p>
            <w:pPr>
              <w:pStyle w:val="Compact"/>
            </w:pPr>
            <w:r>
              <w:t xml:space="preserve">The threefold consequence announced: the sword, the taking of wives, the public shame</w:t>
            </w:r>
          </w:p>
        </w:tc>
        <w:tc>
          <w:tcPr/>
          <w:p>
            <w:pPr>
              <w:pStyle w:val="Compact"/>
            </w:pPr>
            <w:r>
              <w:t xml:space="preserve">Consequences are precise, personal, and covenantal; what was done in secret will be done before all Israel in the open</w:t>
            </w:r>
          </w:p>
        </w:tc>
      </w:tr>
      <w:tr>
        <w:tc>
          <w:tcPr/>
          <w:p>
            <w:pPr>
              <w:pStyle w:val="Compact"/>
            </w:pPr>
            <w:r>
              <w:t xml:space="preserve">13a</w:t>
            </w:r>
          </w:p>
        </w:tc>
        <w:tc>
          <w:tcPr/>
          <w:p>
            <w:pPr>
              <w:pStyle w:val="Compact"/>
            </w:pPr>
            <w:r>
              <w:t xml:space="preserve">David’s confession:</w:t>
            </w:r>
            <w:r>
              <w:t xml:space="preserve"> </w:t>
            </w:r>
            <w:r>
              <w:rPr>
                <w:i/>
                <w:iCs/>
              </w:rPr>
              <w:t xml:space="preserve">“I have sinned against the LORD”</w:t>
            </w:r>
          </w:p>
        </w:tc>
        <w:tc>
          <w:tcPr/>
          <w:p>
            <w:pPr>
              <w:pStyle w:val="Compact"/>
            </w:pPr>
            <w:r>
              <w:t xml:space="preserve">No elaboration, no excuse, no self-justification — five words of unqualified admission</w:t>
            </w:r>
          </w:p>
        </w:tc>
      </w:tr>
      <w:tr>
        <w:tc>
          <w:tcPr/>
          <w:p>
            <w:pPr>
              <w:pStyle w:val="Compact"/>
            </w:pPr>
            <w:r>
              <w:t xml:space="preserve">13b</w:t>
            </w:r>
          </w:p>
        </w:tc>
        <w:tc>
          <w:tcPr/>
          <w:p>
            <w:pPr>
              <w:pStyle w:val="Compact"/>
            </w:pPr>
            <w:r>
              <w:t xml:space="preserve">Nathan:</w:t>
            </w:r>
            <w:r>
              <w:t xml:space="preserve"> </w:t>
            </w:r>
            <w:r>
              <w:rPr>
                <w:i/>
                <w:iCs/>
              </w:rPr>
              <w:t xml:space="preserve">“The LORD also has put away your sin; you shall not die”</w:t>
            </w:r>
          </w:p>
        </w:tc>
        <w:tc>
          <w:tcPr/>
          <w:p>
            <w:pPr>
              <w:pStyle w:val="Compact"/>
            </w:pPr>
            <w:r>
              <w:t xml:space="preserve">Immediate, unconditional forgiveness declared through the same prophetic mouth that delivered the indictment</w:t>
            </w:r>
          </w:p>
        </w:tc>
      </w:tr>
      <w:tr>
        <w:tc>
          <w:tcPr/>
          <w:p>
            <w:pPr>
              <w:pStyle w:val="Compact"/>
            </w:pPr>
            <w:r>
              <w:t xml:space="preserve">14</w:t>
            </w:r>
          </w:p>
        </w:tc>
        <w:tc>
          <w:tcPr/>
          <w:p>
            <w:pPr>
              <w:pStyle w:val="Compact"/>
            </w:pPr>
            <w:r>
              <w:t xml:space="preserve">Nevertheless: the child born will die, because David gave occasion for the enemies of the LORD to blaspheme</w:t>
            </w:r>
          </w:p>
        </w:tc>
        <w:tc>
          <w:tcPr/>
          <w:p>
            <w:pPr>
              <w:pStyle w:val="Compact"/>
            </w:pPr>
            <w:r>
              <w:t xml:space="preserve">Forgiveness does not eliminate all consequence; the death of the child is announced as the consequence that cannot be redirected</w:t>
            </w:r>
          </w:p>
        </w:tc>
      </w:tr>
      <w:tr>
        <w:tc>
          <w:tcPr/>
          <w:p>
            <w:pPr>
              <w:pStyle w:val="Compact"/>
            </w:pPr>
            <w:r>
              <w:t xml:space="preserve">15–17</w:t>
            </w:r>
          </w:p>
        </w:tc>
        <w:tc>
          <w:tcPr/>
          <w:p>
            <w:pPr>
              <w:pStyle w:val="Compact"/>
            </w:pPr>
            <w:r>
              <w:t xml:space="preserve">The child falls ill; David fasts, prays, and lies on the ground seven days</w:t>
            </w:r>
          </w:p>
        </w:tc>
        <w:tc>
          <w:tcPr/>
          <w:p>
            <w:pPr>
              <w:pStyle w:val="Compact"/>
            </w:pPr>
            <w:r>
              <w:t xml:space="preserve">The intensity of David’s intercession; servants fear to tell him the news</w:t>
            </w:r>
          </w:p>
        </w:tc>
      </w:tr>
      <w:tr>
        <w:tc>
          <w:tcPr/>
          <w:p>
            <w:pPr>
              <w:pStyle w:val="Compact"/>
            </w:pPr>
            <w:r>
              <w:t xml:space="preserve">18–19</w:t>
            </w:r>
          </w:p>
        </w:tc>
        <w:tc>
          <w:tcPr/>
          <w:p>
            <w:pPr>
              <w:pStyle w:val="Compact"/>
            </w:pPr>
            <w:r>
              <w:t xml:space="preserve">The child dies; David perceives it from the servants’ behavior</w:t>
            </w:r>
          </w:p>
        </w:tc>
        <w:tc>
          <w:tcPr/>
          <w:p>
            <w:pPr>
              <w:pStyle w:val="Compact"/>
            </w:pPr>
            <w:r>
              <w:t xml:space="preserve">The moment of revelation; David reads the servants correctly</w:t>
            </w:r>
          </w:p>
        </w:tc>
      </w:tr>
      <w:tr>
        <w:tc>
          <w:tcPr/>
          <w:p>
            <w:pPr>
              <w:pStyle w:val="Compact"/>
            </w:pPr>
            <w:r>
              <w:t xml:space="preserve">20–21</w:t>
            </w:r>
          </w:p>
        </w:tc>
        <w:tc>
          <w:tcPr/>
          <w:p>
            <w:pPr>
              <w:pStyle w:val="Compact"/>
            </w:pPr>
            <w:r>
              <w:t xml:space="preserve">David rises, washes, worships, and eats; servants are bewildered</w:t>
            </w:r>
          </w:p>
        </w:tc>
        <w:tc>
          <w:tcPr/>
          <w:p>
            <w:pPr>
              <w:pStyle w:val="Compact"/>
            </w:pPr>
            <w:r>
              <w:t xml:space="preserve">The reversal of expected grief behavior startles everyone; David’s response is counterintuitive</w:t>
            </w:r>
          </w:p>
        </w:tc>
      </w:tr>
      <w:tr>
        <w:tc>
          <w:tcPr/>
          <w:p>
            <w:pPr>
              <w:pStyle w:val="Compact"/>
            </w:pPr>
            <w:r>
              <w:t xml:space="preserve">22–23</w:t>
            </w:r>
          </w:p>
        </w:tc>
        <w:tc>
          <w:tcPr/>
          <w:p>
            <w:pPr>
              <w:pStyle w:val="Compact"/>
            </w:pPr>
            <w:r>
              <w:t xml:space="preserve">David explains: he fasted while there was hope; now the child is gone and cannot return; he will go to him</w:t>
            </w:r>
          </w:p>
        </w:tc>
        <w:tc>
          <w:tcPr/>
          <w:p>
            <w:pPr>
              <w:pStyle w:val="Compact"/>
            </w:pPr>
            <w:r>
              <w:t xml:space="preserve">Theological precision in grief — hope during uncertainty, acceptance after death, resurrection confidence forward</w:t>
            </w:r>
          </w:p>
        </w:tc>
      </w:tr>
      <w:tr>
        <w:tc>
          <w:tcPr/>
          <w:p>
            <w:pPr>
              <w:pStyle w:val="Compact"/>
            </w:pPr>
            <w:r>
              <w:t xml:space="preserve">24–25</w:t>
            </w:r>
          </w:p>
        </w:tc>
        <w:tc>
          <w:tcPr/>
          <w:p>
            <w:pPr>
              <w:pStyle w:val="Compact"/>
            </w:pPr>
            <w:r>
              <w:t xml:space="preserve">Bathsheba conceives again; Solomon is born; the LORD loves him and names him Jedidiah</w:t>
            </w:r>
          </w:p>
        </w:tc>
        <w:tc>
          <w:tcPr/>
          <w:p>
            <w:pPr>
              <w:pStyle w:val="Compact"/>
            </w:pPr>
            <w:r>
              <w:t xml:space="preserve">The covenant resuming; the LORD’s love for Solomon is stated directly — remarkable given the lineage’s history</w:t>
            </w:r>
          </w:p>
        </w:tc>
      </w:tr>
      <w:tr>
        <w:tc>
          <w:tcPr/>
          <w:p>
            <w:pPr>
              <w:pStyle w:val="Compact"/>
            </w:pPr>
            <w:r>
              <w:t xml:space="preserve">26–28</w:t>
            </w:r>
          </w:p>
        </w:tc>
        <w:tc>
          <w:tcPr/>
          <w:p>
            <w:pPr>
              <w:pStyle w:val="Compact"/>
            </w:pPr>
            <w:r>
              <w:t xml:space="preserve">Joab captures Rabbah, sends for David to finish the siege</w:t>
            </w:r>
          </w:p>
        </w:tc>
        <w:tc>
          <w:tcPr/>
          <w:p>
            <w:pPr>
              <w:pStyle w:val="Compact"/>
            </w:pPr>
            <w:r>
              <w:t xml:space="preserve">Military narrative resumes; Joab’s loyal gesture of letting David claim the victory</w:t>
            </w:r>
          </w:p>
        </w:tc>
      </w:tr>
      <w:tr>
        <w:tc>
          <w:tcPr/>
          <w:p>
            <w:pPr>
              <w:pStyle w:val="Compact"/>
            </w:pPr>
            <w:r>
              <w:t xml:space="preserve">29–31</w:t>
            </w:r>
          </w:p>
        </w:tc>
        <w:tc>
          <w:tcPr/>
          <w:p>
            <w:pPr>
              <w:pStyle w:val="Compact"/>
            </w:pPr>
            <w:r>
              <w:t xml:space="preserve">David captures Rabbah, takes the Ammonite crown, plunders the city</w:t>
            </w:r>
          </w:p>
        </w:tc>
        <w:tc>
          <w:tcPr/>
          <w:p>
            <w:pPr>
              <w:pStyle w:val="Compact"/>
            </w:pPr>
            <w:r>
              <w:t xml:space="preserve">The Ammonite campaign that began in chapter 10 reaches its conclusion; David is still the king; the covenant is still operative</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Parable: God Sends His Word Indirectly to Bypass David’s Defenses</w:t>
            </w:r>
          </w:p>
        </w:tc>
      </w:tr>
      <w:tr>
        <w:tc>
          <w:tcPr/>
          <w:p>
            <w:pPr>
              <w:pStyle w:val="Compact"/>
            </w:pPr>
            <w:r>
              <w:t xml:space="preserve">2</w:t>
            </w:r>
          </w:p>
        </w:tc>
        <w:tc>
          <w:tcPr/>
          <w:p>
            <w:pPr>
              <w:pStyle w:val="Compact"/>
            </w:pPr>
            <w:r>
              <w:t xml:space="preserve">7–12</w:t>
            </w:r>
          </w:p>
        </w:tc>
        <w:tc>
          <w:tcPr/>
          <w:p>
            <w:pPr>
              <w:pStyle w:val="Compact"/>
            </w:pPr>
            <w:r>
              <w:t xml:space="preserve">The Indictment:</w:t>
            </w:r>
            <w:r>
              <w:t xml:space="preserve"> </w:t>
            </w:r>
            <w:r>
              <w:t xml:space="preserve">“You Are the Man”</w:t>
            </w:r>
            <w:r>
              <w:t xml:space="preserve"> </w:t>
            </w:r>
            <w:r>
              <w:t xml:space="preserve">— The Word Names the Sin and Announces the Cost</w:t>
            </w:r>
          </w:p>
        </w:tc>
      </w:tr>
      <w:tr>
        <w:tc>
          <w:tcPr/>
          <w:p>
            <w:pPr>
              <w:pStyle w:val="Compact"/>
            </w:pPr>
            <w:r>
              <w:t xml:space="preserve">3</w:t>
            </w:r>
          </w:p>
        </w:tc>
        <w:tc>
          <w:tcPr/>
          <w:p>
            <w:pPr>
              <w:pStyle w:val="Compact"/>
            </w:pPr>
            <w:r>
              <w:t xml:space="preserve">13–14</w:t>
            </w:r>
          </w:p>
        </w:tc>
        <w:tc>
          <w:tcPr/>
          <w:p>
            <w:pPr>
              <w:pStyle w:val="Compact"/>
            </w:pPr>
            <w:r>
              <w:t xml:space="preserve">The Hinge: Forgiveness Declared and Consequence Confirmed — Both at Once</w:t>
            </w:r>
          </w:p>
        </w:tc>
      </w:tr>
      <w:tr>
        <w:tc>
          <w:tcPr/>
          <w:p>
            <w:pPr>
              <w:pStyle w:val="Compact"/>
            </w:pPr>
            <w:r>
              <w:t xml:space="preserve">4</w:t>
            </w:r>
          </w:p>
        </w:tc>
        <w:tc>
          <w:tcPr/>
          <w:p>
            <w:pPr>
              <w:pStyle w:val="Compact"/>
            </w:pPr>
            <w:r>
              <w:t xml:space="preserve">15–23</w:t>
            </w:r>
          </w:p>
        </w:tc>
        <w:tc>
          <w:tcPr/>
          <w:p>
            <w:pPr>
              <w:pStyle w:val="Compact"/>
            </w:pPr>
            <w:r>
              <w:t xml:space="preserve">The Child: David’s Intercession, the Death, and the Theology of Grief and Hope</w:t>
            </w:r>
          </w:p>
        </w:tc>
      </w:tr>
      <w:tr>
        <w:tc>
          <w:tcPr/>
          <w:p>
            <w:pPr>
              <w:pStyle w:val="Compact"/>
            </w:pPr>
            <w:r>
              <w:t xml:space="preserve">5</w:t>
            </w:r>
          </w:p>
        </w:tc>
        <w:tc>
          <w:tcPr/>
          <w:p>
            <w:pPr>
              <w:pStyle w:val="Compact"/>
            </w:pPr>
            <w:r>
              <w:t xml:space="preserve">24–25</w:t>
            </w:r>
          </w:p>
        </w:tc>
        <w:tc>
          <w:tcPr/>
          <w:p>
            <w:pPr>
              <w:pStyle w:val="Compact"/>
            </w:pPr>
            <w:r>
              <w:t xml:space="preserve">The Resumption: Solomon Born, Loved by the LORD — The Covenant Runs Forward</w:t>
            </w:r>
          </w:p>
        </w:tc>
      </w:tr>
      <w:tr>
        <w:tc>
          <w:tcPr/>
          <w:p>
            <w:pPr>
              <w:pStyle w:val="Compact"/>
            </w:pPr>
            <w:r>
              <w:t xml:space="preserve">6</w:t>
            </w:r>
          </w:p>
        </w:tc>
        <w:tc>
          <w:tcPr/>
          <w:p>
            <w:pPr>
              <w:pStyle w:val="Compact"/>
            </w:pPr>
            <w:r>
              <w:t xml:space="preserve">26–31</w:t>
            </w:r>
          </w:p>
        </w:tc>
        <w:tc>
          <w:tcPr/>
          <w:p>
            <w:pPr>
              <w:pStyle w:val="Compact"/>
            </w:pPr>
            <w:r>
              <w:t xml:space="preserve">The Campaign: Rabbah Falls — David Still King, Covenant Still Operative</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confronts David’s sin, executes justice, and preserves His covenant without canceling its cost.</w:t>
      </w:r>
    </w:p>
    <w:p>
      <w:pPr>
        <w:pStyle w:val="BodyText"/>
      </w:pPr>
      <w:r>
        <w:rPr>
          <w:b/>
          <w:bCs/>
        </w:rPr>
        <w:t xml:space="preserve">Primary Claim:</w:t>
      </w:r>
      <w:r>
        <w:t xml:space="preserve"> </w:t>
      </w:r>
      <w:r>
        <w:t xml:space="preserve">God’s faithfulness to His covenant people does not look the other way at sin — it pursues, names, forgives, and disciplines, all at once — so that the reader learns to receive God’s word of confrontation as itself an act of grace, and to trust His covenant purposes even when consequences cannot be reversed.</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 When God’s word names your sin, the self-justifying mind will find a way not to hear it — until it cannot.</w:t>
      </w:r>
    </w:p>
    <w:p>
      <w:pPr>
        <w:pStyle w:val="BodyText"/>
      </w:pPr>
      <w:r>
        <w:t xml:space="preserve">David administered justice with moral fury before he realized the story was about him. The parable was designed precisely because a direct accusation would have triggered every defensive instinct David possessed. Consider how often the sermon, the scripture reading, or the Spirit’s quiet insistence gets deflected onto someone else — a spouse, a colleague, a cultural trend — when its actual address is personal. The pattern of self-deception that allowed David to grieve Uriah’s death in public while orchestrating it in private is not exceptional; it is the normal operation of a heart that has learned to manage its own exposure. The application is not primarily behavioral — it is perceptual: ask God for the Nathan-grace of seeing yourself in the story before the story ends.</w:t>
      </w:r>
    </w:p>
    <w:p>
      <w:pPr>
        <w:pStyle w:val="BodyText"/>
      </w:pPr>
      <w:r>
        <w:rPr>
          <w:b/>
          <w:bCs/>
        </w:rPr>
        <w:t xml:space="preserve">2. The God who confronts your sin is the same God who recites what He has given you.</w:t>
      </w:r>
    </w:p>
    <w:p>
      <w:pPr>
        <w:pStyle w:val="BodyText"/>
      </w:pPr>
      <w:r>
        <w:t xml:space="preserve">Before Nathan announces the consequences, the LORD rehearses His generosity:</w:t>
      </w:r>
      <w:r>
        <w:t xml:space="preserve"> </w:t>
      </w:r>
      <w:r>
        <w:rPr>
          <w:i/>
          <w:iCs/>
        </w:rPr>
        <w:t xml:space="preserve">“I gave you your master’s house... I gave you the house of Israel and Judah... and if that had been too little, I would have added to you as much more.”</w:t>
      </w:r>
      <w:r>
        <w:t xml:space="preserve"> </w:t>
      </w:r>
      <w:r>
        <w:t xml:space="preserve">This is not an accounting exercise designed to maximize David’s guilt — it is the framework within which the sin is correctly understood. Sin against God is not primarily the violation of a rule; it is the despising of a giver. The application for affections: sit with what God has actually given you before cataloging what you wish He would give you. The discontentment that drove David toward Bathsheba — the wandering eye in the season when kings should have been at war — is the affective posture of someone who has forgotten what they already hold. Gratitude is not a spiritual nicety; it is the affective immune system against the specific form of sin that destroyed David’s household.</w:t>
      </w:r>
    </w:p>
    <w:p>
      <w:pPr>
        <w:pStyle w:val="BodyText"/>
      </w:pPr>
      <w:r>
        <w:rPr>
          <w:b/>
          <w:bCs/>
        </w:rPr>
        <w:t xml:space="preserve">3. Confession requires no elaboration — David’s five words are sufficient.</w:t>
      </w:r>
    </w:p>
    <w:p>
      <w:pPr>
        <w:pStyle w:val="BodyText"/>
      </w:pPr>
      <w:r>
        <w:rPr>
          <w:i/>
          <w:iCs/>
        </w:rPr>
        <w:t xml:space="preserve">“I have sinned against the LORD.”</w:t>
      </w:r>
      <w:r>
        <w:t xml:space="preserve"> </w:t>
      </w:r>
      <w:r>
        <w:t xml:space="preserve">No context-setting. No comparative defense (</w:t>
      </w:r>
      <w:r>
        <w:t xml:space="preserve">“but consider what Uriah…”</w:t>
      </w:r>
      <w:r>
        <w:t xml:space="preserve">). No therapeutic framing (</w:t>
      </w:r>
      <w:r>
        <w:t xml:space="preserve">“I was in a difficult season”</w:t>
      </w:r>
      <w:r>
        <w:t xml:space="preserve">). Five words, direct address, full admission. This is not the brevity of someone who does not feel the weight — Psalm 51 makes clear that David felt it as fully as any human being can. It is the brevity of someone who understands that God already knows, that God’s knowing is what made confession possible, and that adding words is not the same as adding honesty. The application for the will: identify the specific sin that the Spirit has been naming, and speak it to God exactly — by name, without explanatory scaffolding. The scaffolding is the defense. The naked name is the confession.</w:t>
      </w:r>
    </w:p>
    <w:p>
      <w:pPr>
        <w:pStyle w:val="BodyText"/>
      </w:pPr>
      <w:r>
        <w:rPr>
          <w:b/>
          <w:bCs/>
        </w:rPr>
        <w:t xml:space="preserve">4. Forgiveness and consequences can coexist — learning to hold both without collapsing either is the work of mature faith.</w:t>
      </w:r>
    </w:p>
    <w:p>
      <w:pPr>
        <w:pStyle w:val="BodyText"/>
      </w:pPr>
      <w:r>
        <w:t xml:space="preserve">The temptation when forgiveness is declared is to treat consequences as therefore unjust — as if God’s pardon should reset the world to before-the-sin. The temptation when consequences arrive is to treat them as evidence that forgiveness was not real — as if the sword’s continued presence in David’s house means Nathan lied in verse 13. Both moves are theologically wrong, and both are emotionally understandable. The mature reader holds the two truths: the forgiveness is complete (</w:t>
      </w:r>
      <w:r>
        <w:t xml:space="preserve">“the LORD has put away your sin”</w:t>
      </w:r>
      <w:r>
        <w:t xml:space="preserve">), and the consequences are real and will be painful (</w:t>
      </w:r>
      <w:r>
        <w:t xml:space="preserve">“the sword shall never depart from your house”</w:t>
      </w:r>
      <w:r>
        <w:t xml:space="preserve">). This coexistence is not incoherence — it is the shape of living under grace in a world of real cause and effect. The application: if you are living with the long-term consequences of forgiven sin — the marriage that still bears the damage, the reputation that has not recovered, the body that bears the mark — this chapter says the forgiveness was not therefore partial. The consequences are the sin’s damage in the world; the forgiveness is your standing before God. These are not the same thing, and confusion between them produces either cheap grace or quiet despair.</w:t>
      </w:r>
    </w:p>
    <w:p>
      <w:pPr>
        <w:pStyle w:val="BodyText"/>
      </w:pPr>
      <w:r>
        <w:rPr>
          <w:b/>
          <w:bCs/>
        </w:rPr>
        <w:t xml:space="preserve">5. David’s theology of death —</w:t>
      </w:r>
      <w:r>
        <w:rPr>
          <w:b/>
          <w:bCs/>
        </w:rPr>
        <w:t xml:space="preserve"> </w:t>
      </w:r>
      <w:r>
        <w:rPr>
          <w:b/>
          <w:bCs/>
        </w:rPr>
        <w:t xml:space="preserve">“I will go to him”</w:t>
      </w:r>
      <w:r>
        <w:rPr>
          <w:b/>
          <w:bCs/>
        </w:rPr>
        <w:t xml:space="preserve"> </w:t>
      </w:r>
      <w:r>
        <w:rPr>
          <w:b/>
          <w:bCs/>
        </w:rPr>
        <w:t xml:space="preserve">— is available to every believer who has lost what cannot be recovered.</w:t>
      </w:r>
    </w:p>
    <w:p>
      <w:pPr>
        <w:pStyle w:val="BodyText"/>
      </w:pPr>
      <w:r>
        <w:t xml:space="preserve">When the child died, David rose and worshiped. His explanation to his servants is one of the most quietly remarkable theological statements in the Old Testament:</w:t>
      </w:r>
      <w:r>
        <w:t xml:space="preserve"> </w:t>
      </w:r>
      <w:r>
        <w:rPr>
          <w:i/>
          <w:iCs/>
        </w:rPr>
        <w:t xml:space="preserve">“Can I bring him back again? I shall go to him, but he will not return to me.”</w:t>
      </w:r>
      <w:r>
        <w:t xml:space="preserve"> </w:t>
      </w:r>
      <w:r>
        <w:t xml:space="preserve">This is not fatalism — it is resurrection hope operating before the full vocabulary of resurrection has been given. David is confident of a future reunion, and that confidence makes present grief bearable without needing to deny it. The application for anyone living with an irreversible loss — not necessarily the death of a child, but the death of anything that cannot be recovered — is this: the Christian grammar of grief is not</w:t>
      </w:r>
      <w:r>
        <w:t xml:space="preserve"> </w:t>
      </w:r>
      <w:r>
        <w:rPr>
          <w:i/>
          <w:iCs/>
        </w:rPr>
        <w:t xml:space="preserve">denial</w:t>
      </w:r>
      <w:r>
        <w:t xml:space="preserve"> </w:t>
      </w:r>
      <w:r>
        <w:t xml:space="preserve">(</w:t>
      </w:r>
      <w:r>
        <w:t xml:space="preserve">“it’s not really gone”</w:t>
      </w:r>
      <w:r>
        <w:t xml:space="preserve">) nor</w:t>
      </w:r>
      <w:r>
        <w:t xml:space="preserve"> </w:t>
      </w:r>
      <w:r>
        <w:rPr>
          <w:i/>
          <w:iCs/>
        </w:rPr>
        <w:t xml:space="preserve">despair</w:t>
      </w:r>
      <w:r>
        <w:t xml:space="preserve"> </w:t>
      </w:r>
      <w:r>
        <w:t xml:space="preserve">(</w:t>
      </w:r>
      <w:r>
        <w:t xml:space="preserve">“it’s gone forever and that’s the end of it”</w:t>
      </w:r>
      <w:r>
        <w:t xml:space="preserve">), but</w:t>
      </w:r>
      <w:r>
        <w:t xml:space="preserve"> </w:t>
      </w:r>
      <w:r>
        <w:rPr>
          <w:i/>
          <w:iCs/>
        </w:rPr>
        <w:t xml:space="preserve">forward trust</w:t>
      </w:r>
      <w:r>
        <w:t xml:space="preserve"> </w:t>
      </w:r>
      <w:r>
        <w:t xml:space="preserve">(</w:t>
      </w:r>
      <w:r>
        <w:t xml:space="preserve">“I cannot go back; I will go forward, and I will see it again”</w:t>
      </w:r>
      <w:r>
        <w:t xml:space="preserve">). This is not a technique for short-circuiting grief; David wept. It is a theology that tells grief where it ends.</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This chapter teaches that God’s holiness and His covenant faithfulness are not in tension but operate together as a unity. The God who confronts David is the same God who gave David everything and the same God who named Solomon as beloved — the confrontation, the forgiveness, the consequence, and the resumption of covenant purpose are all expressions of the same divine character. The passage establishes a critical theological truth: divine forgiveness is judicial and immediate (the sin is</w:t>
      </w:r>
      <w:r>
        <w:t xml:space="preserve"> </w:t>
      </w:r>
      <w:r>
        <w:t xml:space="preserve">“put away”</w:t>
      </w:r>
      <w:r>
        <w:t xml:space="preserve">), but divine governance of a world with real moral order means that the effects of sin in history do not evaporate when the guilt does. God’s discipline of David is not punitive in the final sense — David is not cast off — but it is real and prolonged, because God takes the covenant seriously enough to make its terms meaningful. The chapter also displays God’s sovereign ability to work His covenant purposes forward through the very lineage that sin attempted to corrupt: Solomon’s birth and the LORD’s love for him announce that God’s redemptive plan is not derailed by human failure.</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Second Samuel 12 is a paradigmatic text for the Reformed understanding of the relationship between grace and discipline within the covenant of grace. The Davidic covenant established in chapter 7 contained within it a provision for discipline without disinheritance (2 Samuel 7:14-15), and chapter 12 is that provision in operation. This is not works-conditionality — David’s forgiveness is not earned by his confession; it is pronounced immediately and unconditionally by Nathan on God’s behalf. But it is also not antinomianism — the forgiveness does not dissolve the moral seriousness of what David has done or shield the covenant community from the consequences. Reformed theology insists that God’s sovereignty and human moral responsibility are not in competition, and this chapter displays exactly that: God’s decree regarding the child’s death stands, and David’s prayer is genuine and urgent, and both are true. The birth of Solomon as Jedidiah (</w:t>
      </w:r>
      <w:r>
        <w:t xml:space="preserve">“beloved of the LORD”</w:t>
      </w:r>
      <w:r>
        <w:t xml:space="preserve">) carries redemptive-historical significance: the covenant thread that will produce the greater Son of David runs directly through this moment of judgment and grace, establishing that the gospel is not Plan B but the sovereign purpose of God working through and not around the failures of His people.</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God’s word of confrontation — whether it comes through a prophet, a sermon, a passage of scripture, or the quiet insistence of the Spirit — is not an act of rejection. It is the most intimate act of covenant love available to a sinner: God pursuing you into your worst moment, naming what you have done, and then offering you the same thing He offered David — put-away sin and a covenant that runs forward. Receive the confrontation. Say the name. Rise and worship. Trust that the thread runs forward even through what cannot be undone.</w:t>
      </w:r>
    </w:p>
    <w:p>
      <w:r>
        <w:pict>
          <v:rect style="width:0;height:1.5pt" o:hralign="center" o:hrstd="t" o:hr="t"/>
        </w:pict>
      </w:r>
    </w:p>
    <w:bookmarkEnd w:id="19"/>
    <w:bookmarkStart w:id="20" w:name="preachingteaching-pitfalls"/>
    <w:p>
      <w:pPr>
        <w:pStyle w:val="Heading2"/>
      </w:pPr>
      <w:r>
        <w:t xml:space="preserve">Preaching/Teaching Pitfalls</w:t>
      </w:r>
    </w:p>
    <w:p>
      <w:pPr>
        <w:numPr>
          <w:ilvl w:val="0"/>
          <w:numId w:val="1002"/>
        </w:numPr>
      </w:pPr>
      <w:r>
        <w:rPr>
          <w:b/>
          <w:bCs/>
        </w:rPr>
        <w:t xml:space="preserve">Reducing the chapter to a morality tale about consequences.</w:t>
      </w:r>
      <w:r>
        <w:t xml:space="preserve"> </w:t>
      </w:r>
      <w:r>
        <w:t xml:space="preserve">The most common mishandling of 2 Samuel 12 is preaching it primarily as a warning:</w:t>
      </w:r>
      <w:r>
        <w:t xml:space="preserve"> </w:t>
      </w:r>
      <w:r>
        <w:t xml:space="preserve">“See what happens when you sin.”</w:t>
      </w:r>
      <w:r>
        <w:t xml:space="preserve"> </w:t>
      </w:r>
      <w:r>
        <w:t xml:space="preserve">Consequences are real and severe in this passage, but the governing movement is not consequence — it is the covenant faithfulness of a God who pursues His sinning king, forgives him immediately, disciplines him painfully, and then places His love on Solomon in the next breath. A sermon that concludes primarily with</w:t>
      </w:r>
      <w:r>
        <w:t xml:space="preserve"> </w:t>
      </w:r>
      <w:r>
        <w:t xml:space="preserve">“sin has consequences”</w:t>
      </w:r>
      <w:r>
        <w:t xml:space="preserve"> </w:t>
      </w:r>
      <w:r>
        <w:t xml:space="preserve">has preached the law without the gospel and missed what the text is doing. The chapter is not a deterrent tract; it is a portrait of covenantal grace operating through judgment.</w:t>
      </w:r>
    </w:p>
    <w:p>
      <w:pPr>
        <w:numPr>
          <w:ilvl w:val="0"/>
          <w:numId w:val="1002"/>
        </w:numPr>
      </w:pPr>
      <w:r>
        <w:rPr>
          <w:b/>
          <w:bCs/>
        </w:rPr>
        <w:t xml:space="preserve">Sentimentalizing David’s confession without the weight of Nathan’s indictment.</w:t>
      </w:r>
      <w:r>
        <w:t xml:space="preserve"> </w:t>
      </w:r>
      <w:r>
        <w:t xml:space="preserve">David’s</w:t>
      </w:r>
      <w:r>
        <w:t xml:space="preserve"> </w:t>
      </w:r>
      <w:r>
        <w:t xml:space="preserve">“I have sinned against the LORD”</w:t>
      </w:r>
      <w:r>
        <w:t xml:space="preserve"> </w:t>
      </w:r>
      <w:r>
        <w:t xml:space="preserve">is beautiful in its brevity, but it arrives after the full force of Nathan’s accusation:</w:t>
      </w:r>
      <w:r>
        <w:t xml:space="preserve"> </w:t>
      </w:r>
      <w:r>
        <w:t xml:space="preserve">“You despised the word of the LORD... you have struck down Uriah the Hittite with the sword.”</w:t>
      </w:r>
      <w:r>
        <w:t xml:space="preserve"> </w:t>
      </w:r>
      <w:r>
        <w:t xml:space="preserve">The confession is not a formulaic fix; it is the response of a man who has had his self-deception stripped away and has nothing left to say except the truth. Preach the indictment before you preach the confession, or the confession will seem cheap.</w:t>
      </w:r>
    </w:p>
    <w:p>
      <w:pPr>
        <w:numPr>
          <w:ilvl w:val="0"/>
          <w:numId w:val="1002"/>
        </w:numPr>
      </w:pPr>
      <w:r>
        <w:rPr>
          <w:b/>
          <w:bCs/>
        </w:rPr>
        <w:t xml:space="preserve">Treating the death of the child as a theological problem to be managed rather than a moral weight to be held.</w:t>
      </w:r>
      <w:r>
        <w:t xml:space="preserve"> </w:t>
      </w:r>
      <w:r>
        <w:t xml:space="preserve">Preachers often move too quickly to theodicy (</w:t>
      </w:r>
      <w:r>
        <w:t xml:space="preserve">“God works all things for good”</w:t>
      </w:r>
      <w:r>
        <w:t xml:space="preserve">) or to heaven (</w:t>
      </w:r>
      <w:r>
        <w:t xml:space="preserve">“the child is with the Lord”</w:t>
      </w:r>
      <w:r>
        <w:t xml:space="preserve">) in a way that lightens what the text intends to be heavy. The child’s death is announced as a consequence of David’s sin, and the text does not soften that. Sit in the weight of it. David does not rush past it — he lies on the ground for seven days. The theodicy is not absent from the text (David’s</w:t>
      </w:r>
      <w:r>
        <w:t xml:space="preserve"> </w:t>
      </w:r>
      <w:r>
        <w:t xml:space="preserve">“I will go to him”</w:t>
      </w:r>
      <w:r>
        <w:t xml:space="preserve"> </w:t>
      </w:r>
      <w:r>
        <w:t xml:space="preserve">provides it), but it comes through grief, not instead of it.</w:t>
      </w:r>
    </w:p>
    <w:p>
      <w:pPr>
        <w:numPr>
          <w:ilvl w:val="0"/>
          <w:numId w:val="1002"/>
        </w:numPr>
      </w:pPr>
      <w:r>
        <w:rPr>
          <w:b/>
          <w:bCs/>
        </w:rPr>
        <w:t xml:space="preserve">Missing the Christological trajectory in the birth of Solomon.</w:t>
      </w:r>
      <w:r>
        <w:t xml:space="preserve"> </w:t>
      </w:r>
      <w:r>
        <w:t xml:space="preserve">The chapter does not end with the child’s death or even with David’s restored composure — it ends with the birth of another child whom the LORD loves. The name Jedidiah (</w:t>
      </w:r>
      <w:r>
        <w:t xml:space="preserve">“beloved of the LORD”</w:t>
      </w:r>
      <w:r>
        <w:t xml:space="preserve">) anticipates the voice at Jesus’s baptism:</w:t>
      </w:r>
      <w:r>
        <w:t xml:space="preserve"> </w:t>
      </w:r>
      <w:r>
        <w:t xml:space="preserve">“This is my beloved Son, in whom I am well pleased.”</w:t>
      </w:r>
      <w:r>
        <w:t xml:space="preserve"> </w:t>
      </w:r>
      <w:r>
        <w:t xml:space="preserve">The Davidic covenant thread runs forward through this very moment of sin’s aftermath to the one who will bear the full weight of the sword so that His people need not bear it finally. A sermon that does not reach this forward trajectory leaves the text unfinished.</w:t>
      </w:r>
    </w:p>
    <w:p>
      <w:pPr>
        <w:numPr>
          <w:ilvl w:val="0"/>
          <w:numId w:val="1002"/>
        </w:numPr>
      </w:pPr>
      <w:r>
        <w:rPr>
          <w:b/>
          <w:bCs/>
        </w:rPr>
        <w:t xml:space="preserve">Misreading David’s post-death behavior as spiritual callousness or unhealthy grief suppression.</w:t>
      </w:r>
      <w:r>
        <w:t xml:space="preserve"> </w:t>
      </w:r>
      <w:r>
        <w:t xml:space="preserve">David’s rising, washing, worshiping, and eating after the child’s death has puzzled interpreters and sometimes been preached as evidence of David’s hardness or emotional dysfunction. The text itself provides the corrective (vv. 22-23): David explains his reasoning with theological clarity and emotional intelligence. This is not suppression; it is the integration of grief with trust. The preacher should not psychologize David in either direction — neither praising him for</w:t>
      </w:r>
      <w:r>
        <w:t xml:space="preserve"> </w:t>
      </w:r>
      <w:r>
        <w:t xml:space="preserve">“moving on quickly”</w:t>
      </w:r>
      <w:r>
        <w:t xml:space="preserve"> </w:t>
      </w:r>
      <w:r>
        <w:t xml:space="preserve">(which trivializes the loss) nor critiquing him for</w:t>
      </w:r>
      <w:r>
        <w:t xml:space="preserve"> </w:t>
      </w:r>
      <w:r>
        <w:t xml:space="preserve">“not processing the grief”</w:t>
      </w:r>
      <w:r>
        <w:t xml:space="preserve"> </w:t>
      </w:r>
      <w:r>
        <w:t xml:space="preserve">(which imports modern therapeutic categories the text does not share). Let David’s own explanation interpret his behavior.</w:t>
      </w:r>
    </w:p>
    <w:p>
      <w:pPr>
        <w:numPr>
          <w:ilvl w:val="0"/>
          <w:numId w:val="1002"/>
        </w:numPr>
      </w:pPr>
      <w:r>
        <w:rPr>
          <w:b/>
          <w:bCs/>
        </w:rPr>
        <w:t xml:space="preserve">Treating the parable technique as a model for pastoral manipulation.</w:t>
      </w:r>
      <w:r>
        <w:t xml:space="preserve"> </w:t>
      </w:r>
      <w:r>
        <w:t xml:space="preserve">Nathan’s indirect approach has occasionally been appropriated as a methodology for</w:t>
      </w:r>
      <w:r>
        <w:t xml:space="preserve"> </w:t>
      </w:r>
      <w:r>
        <w:t xml:space="preserve">“getting past people’s defenses”</w:t>
      </w:r>
      <w:r>
        <w:t xml:space="preserve"> </w:t>
      </w:r>
      <w:r>
        <w:t xml:space="preserve">in pastoral counseling or confrontation — a kind of holy misdirection. This misapplies the text. Nathan’s parable is not a technique that can be packaged; it is a Spirit-given instrument of prophetic confrontation specific to this moment, this king, and this sin. The principle it illustrates — that genuine confrontation aims at the heart, not the behavior — is transferable. The technique itself is not a template.</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2026-07-14T21:02:48Z</dcterms:created>
  <dcterms:modified xsi:type="dcterms:W3CDTF">2026-07-14T21:02:48Z</dcterms:modified>
</cp:coreProperties>
</file>

<file path=docProps/custom.xml><?xml version="1.0" encoding="utf-8"?>
<Properties xmlns="http://schemas.openxmlformats.org/officeDocument/2006/custom-properties" xmlns:vt="http://schemas.openxmlformats.org/officeDocument/2006/docPropsVTypes"/>
</file>